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D6386F">
        <w:rPr>
          <w:b/>
          <w:bCs/>
        </w:rPr>
        <w:t>DIF/SC-013</w:t>
      </w:r>
      <w:r w:rsidR="004751FF">
        <w:rPr>
          <w:b/>
          <w:bCs/>
        </w:rPr>
        <w:t>/ 2023</w:t>
      </w:r>
    </w:p>
    <w:p w:rsidR="00A86CCD" w:rsidRDefault="00E316B2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ADQUISICION DE MATERIAL PARA ALBERCA</w:t>
      </w:r>
      <w:r w:rsidR="00D6386F">
        <w:rPr>
          <w:b/>
          <w:bCs/>
        </w:rPr>
        <w:t xml:space="preserve"> 2DA RONDA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</w:t>
      </w:r>
      <w:bookmarkStart w:id="1" w:name="_GoBack"/>
      <w:bookmarkEnd w:id="1"/>
      <w:r w:rsidRPr="005C6BBF">
        <w:t>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E316B2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2521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D6386F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4B4741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D6386F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03/08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D6386F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AA1B98">
      <w:pPr>
        <w:rPr>
          <w:b/>
          <w:bCs/>
        </w:rPr>
      </w:pPr>
    </w:p>
    <w:p w:rsidR="00A4056F" w:rsidRDefault="008E3094" w:rsidP="00F97DC4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6386F" w:rsidRDefault="00D6386F" w:rsidP="00D6386F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>
        <w:rPr>
          <w:b/>
          <w:bCs/>
        </w:rPr>
        <w:t>DIF/SC-013</w:t>
      </w:r>
      <w:r>
        <w:rPr>
          <w:b/>
          <w:bCs/>
        </w:rPr>
        <w:t>/ 2023</w:t>
      </w:r>
    </w:p>
    <w:p w:rsidR="00D6386F" w:rsidRDefault="00D6386F" w:rsidP="00D6386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 PARA ALBERCA 2DA RONDA</w:t>
      </w:r>
    </w:p>
    <w:p w:rsidR="00AA1B98" w:rsidRDefault="00AA1B98" w:rsidP="00AA1B98">
      <w:pPr>
        <w:spacing w:after="0" w:line="240" w:lineRule="auto"/>
        <w:jc w:val="center"/>
        <w:rPr>
          <w:b/>
          <w:bCs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860"/>
        <w:gridCol w:w="1200"/>
        <w:gridCol w:w="2960"/>
        <w:gridCol w:w="880"/>
        <w:gridCol w:w="1400"/>
        <w:gridCol w:w="1380"/>
      </w:tblGrid>
      <w:tr w:rsidR="00E316B2" w:rsidRPr="00E316B2" w:rsidTr="00E316B2">
        <w:trPr>
          <w:trHeight w:val="5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AA1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Partida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Cantidad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detalle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u. de </w:t>
            </w: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medida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Unitario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Total </w:t>
            </w: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Anual</w:t>
            </w:r>
            <w:proofErr w:type="spellEnd"/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FLOCUANTE DE 20 LTRS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ALGUICIDA 20 LITROS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CLORO EN POLVO 50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IVA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lastRenderedPageBreak/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F8" w:rsidRDefault="005202F8" w:rsidP="005D5FAD">
      <w:pPr>
        <w:spacing w:after="0" w:line="240" w:lineRule="auto"/>
      </w:pPr>
      <w:r>
        <w:separator/>
      </w:r>
    </w:p>
  </w:endnote>
  <w:endnote w:type="continuationSeparator" w:id="0">
    <w:p w:rsidR="005202F8" w:rsidRDefault="005202F8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F8" w:rsidRDefault="005202F8" w:rsidP="005D5FAD">
      <w:pPr>
        <w:spacing w:after="0" w:line="240" w:lineRule="auto"/>
      </w:pPr>
      <w:r>
        <w:separator/>
      </w:r>
    </w:p>
  </w:footnote>
  <w:footnote w:type="continuationSeparator" w:id="0">
    <w:p w:rsidR="005202F8" w:rsidRDefault="005202F8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4A04"/>
    <w:rsid w:val="00101DC8"/>
    <w:rsid w:val="00114A18"/>
    <w:rsid w:val="001177B6"/>
    <w:rsid w:val="00126779"/>
    <w:rsid w:val="001279A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A4ABB"/>
    <w:rsid w:val="003B341F"/>
    <w:rsid w:val="003C6837"/>
    <w:rsid w:val="003D2B35"/>
    <w:rsid w:val="004112C2"/>
    <w:rsid w:val="0041335A"/>
    <w:rsid w:val="00416843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545A"/>
    <w:rsid w:val="005202F8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7F602B"/>
    <w:rsid w:val="00862693"/>
    <w:rsid w:val="008B0ABB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AA1B98"/>
    <w:rsid w:val="00B0545E"/>
    <w:rsid w:val="00B271ED"/>
    <w:rsid w:val="00B27262"/>
    <w:rsid w:val="00B935F5"/>
    <w:rsid w:val="00BB526B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386F"/>
    <w:rsid w:val="00D64303"/>
    <w:rsid w:val="00D84FE0"/>
    <w:rsid w:val="00D960FB"/>
    <w:rsid w:val="00DC13DB"/>
    <w:rsid w:val="00DD378D"/>
    <w:rsid w:val="00DF1819"/>
    <w:rsid w:val="00DF3F28"/>
    <w:rsid w:val="00DF57E5"/>
    <w:rsid w:val="00E046AF"/>
    <w:rsid w:val="00E2455B"/>
    <w:rsid w:val="00E316B2"/>
    <w:rsid w:val="00E61D27"/>
    <w:rsid w:val="00EA2723"/>
    <w:rsid w:val="00EF7FD9"/>
    <w:rsid w:val="00F109C3"/>
    <w:rsid w:val="00F16D0A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19D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F774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67</cp:revision>
  <cp:lastPrinted>2023-07-05T18:39:00Z</cp:lastPrinted>
  <dcterms:created xsi:type="dcterms:W3CDTF">2022-07-20T16:29:00Z</dcterms:created>
  <dcterms:modified xsi:type="dcterms:W3CDTF">2023-07-20T20:10:00Z</dcterms:modified>
</cp:coreProperties>
</file>